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997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643"/>
        <w:gridCol w:w="5844"/>
        <w:gridCol w:w="2491"/>
      </w:tblGrid>
      <w:tr w:rsidR="00783BDF" w:rsidRPr="004A24DE">
        <w:tc>
          <w:tcPr>
            <w:tcW w:w="1643" w:type="dxa"/>
            <w:tcBorders>
              <w:top w:val="single" w:sz="2" w:space="0" w:color="000000"/>
              <w:left w:val="single" w:sz="2" w:space="0" w:color="000000"/>
              <w:bottom w:val="single" w:sz="2" w:space="0" w:color="000000"/>
              <w:right w:val="nil"/>
            </w:tcBorders>
            <w:shd w:val="clear" w:color="auto" w:fill="auto"/>
            <w:tcMar>
              <w:left w:w="54" w:type="dxa"/>
            </w:tcMar>
          </w:tcPr>
          <w:p w:rsidR="00783BDF" w:rsidRPr="004A24DE" w:rsidRDefault="00A31016">
            <w:pPr>
              <w:pStyle w:val="TableContents"/>
            </w:pPr>
            <w:r w:rsidRPr="004A24DE">
              <w:pict>
                <v:shape id="shapetype_75" o:spid="_x0000_s1027" style="position:absolute;margin-left:0;margin-top:0;width:50pt;height:50pt;z-index:251658240;visibility:hidden" coordsize="21600,21600" o:spt="100" adj="2700,,0" path="m0,0l21600,,21600,21600,,21600xm@0@0l@0@2@1@2@1@0xe">
                  <v:stroke joinstyle="miter"/>
                  <v:formulas>
                    <v:f eqn="val #0"/>
                    <v:f eqn="sum width 0 @0"/>
                    <v:f eqn="sum height 0 @0"/>
                  </v:formulas>
                  <v:path gradientshapeok="t" o:connecttype="rect" textboxrect="@0,@0,@1,@2"/>
                  <v:handles>
                    <v:h position="@0,center"/>
                  </v:handles>
                  <o:lock v:ext="edit" selection="t"/>
                </v:shape>
              </w:pict>
            </w:r>
          </w:p>
        </w:tc>
        <w:tc>
          <w:tcPr>
            <w:tcW w:w="5844" w:type="dxa"/>
            <w:tcBorders>
              <w:top w:val="single" w:sz="2" w:space="0" w:color="000000"/>
              <w:left w:val="single" w:sz="2" w:space="0" w:color="000000"/>
              <w:bottom w:val="single" w:sz="2" w:space="0" w:color="000000"/>
              <w:right w:val="nil"/>
            </w:tcBorders>
            <w:shd w:val="clear" w:color="auto" w:fill="auto"/>
            <w:tcMar>
              <w:left w:w="54" w:type="dxa"/>
            </w:tcMar>
          </w:tcPr>
          <w:p w:rsidR="00783BDF" w:rsidRPr="004A24DE" w:rsidRDefault="00783BDF">
            <w:pPr>
              <w:spacing w:after="170"/>
              <w:jc w:val="center"/>
              <w:rPr>
                <w:sz w:val="16"/>
                <w:szCs w:val="16"/>
              </w:rPr>
            </w:pPr>
          </w:p>
          <w:p w:rsidR="00783BDF" w:rsidRPr="004A24DE" w:rsidRDefault="00482544">
            <w:pPr>
              <w:spacing w:after="170"/>
              <w:jc w:val="center"/>
            </w:pPr>
            <w:r w:rsidRPr="004A24DE">
              <w:t xml:space="preserve">Groupe de réflexion : </w:t>
            </w:r>
            <w:r w:rsidRPr="004A24DE">
              <w:rPr>
                <w:b/>
                <w:bCs/>
              </w:rPr>
              <w:t>CITOYENNETÉ</w:t>
            </w:r>
            <w:r w:rsidRPr="004A24DE">
              <w:t xml:space="preserve"> </w:t>
            </w:r>
          </w:p>
          <w:p w:rsidR="00783BDF" w:rsidRPr="004A24DE" w:rsidRDefault="00482544">
            <w:pPr>
              <w:spacing w:before="170" w:after="170"/>
              <w:jc w:val="center"/>
            </w:pPr>
            <w:r w:rsidRPr="004A24DE">
              <w:t>Compte-rendu de réunion et propositions</w:t>
            </w:r>
          </w:p>
        </w:tc>
        <w:tc>
          <w:tcPr>
            <w:tcW w:w="249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83BDF" w:rsidRPr="004A24DE" w:rsidRDefault="00783BDF">
            <w:pPr>
              <w:pStyle w:val="TableContents"/>
              <w:spacing w:after="170"/>
              <w:jc w:val="center"/>
              <w:rPr>
                <w:sz w:val="16"/>
                <w:szCs w:val="16"/>
              </w:rPr>
            </w:pPr>
          </w:p>
          <w:p w:rsidR="00783BDF" w:rsidRPr="004A24DE" w:rsidRDefault="00482544">
            <w:pPr>
              <w:pStyle w:val="TableContents"/>
              <w:spacing w:after="170"/>
              <w:jc w:val="center"/>
            </w:pPr>
            <w:r w:rsidRPr="004A24DE">
              <w:t>Dieulefit : la Halle</w:t>
            </w:r>
          </w:p>
          <w:p w:rsidR="00783BDF" w:rsidRPr="004A24DE" w:rsidRDefault="00482544">
            <w:pPr>
              <w:pStyle w:val="TableContents"/>
              <w:spacing w:after="170"/>
              <w:jc w:val="center"/>
            </w:pPr>
            <w:r w:rsidRPr="004A24DE">
              <w:t>lundi  28 janvier 2019</w:t>
            </w:r>
          </w:p>
        </w:tc>
      </w:tr>
    </w:tbl>
    <w:p w:rsidR="00783BDF" w:rsidRPr="004A24DE" w:rsidRDefault="00783BDF">
      <w:pPr>
        <w:spacing w:after="113"/>
      </w:pPr>
    </w:p>
    <w:p w:rsidR="00783BDF" w:rsidRPr="004A24DE" w:rsidRDefault="00482544">
      <w:pPr>
        <w:spacing w:after="113"/>
        <w:jc w:val="both"/>
        <w:rPr>
          <w:b/>
        </w:rPr>
      </w:pPr>
      <w:r w:rsidRPr="004A24DE">
        <w:rPr>
          <w:b/>
        </w:rPr>
        <w:t xml:space="preserve">Un </w:t>
      </w:r>
      <w:r w:rsidRPr="004A24DE">
        <w:rPr>
          <w:b/>
          <w:bCs/>
        </w:rPr>
        <w:t>SENTIMENT PARTAGÉ</w:t>
      </w:r>
      <w:r w:rsidRPr="004A24DE">
        <w:rPr>
          <w:b/>
        </w:rPr>
        <w:t xml:space="preserve"> par tous les participants à la réunion : </w:t>
      </w:r>
    </w:p>
    <w:p w:rsidR="00482544" w:rsidRPr="004A24DE" w:rsidRDefault="00482544">
      <w:pPr>
        <w:spacing w:after="113"/>
        <w:jc w:val="both"/>
      </w:pPr>
      <w:r w:rsidRPr="004A24DE">
        <w:t xml:space="preserve">Les manifestations des gilets jaunes montrent la perte de confiance d’une grande partie des citoyens dans les institutions et les représentants élus. </w:t>
      </w:r>
    </w:p>
    <w:p w:rsidR="00482544" w:rsidRPr="004A24DE" w:rsidRDefault="00482544">
      <w:pPr>
        <w:spacing w:after="113"/>
        <w:jc w:val="both"/>
      </w:pPr>
      <w:r w:rsidRPr="004A24DE">
        <w:t>Localement, l</w:t>
      </w:r>
      <w:r w:rsidRPr="004A24DE">
        <w:rPr>
          <w:rFonts w:hint="eastAsia"/>
        </w:rPr>
        <w:t xml:space="preserve">es </w:t>
      </w:r>
      <w:r w:rsidRPr="004A24DE">
        <w:t xml:space="preserve">participants au groupe de travail déclarent </w:t>
      </w:r>
      <w:r w:rsidRPr="004A24DE">
        <w:rPr>
          <w:rFonts w:hint="eastAsia"/>
        </w:rPr>
        <w:t>majoritairement</w:t>
      </w:r>
      <w:r w:rsidRPr="004A24DE">
        <w:t xml:space="preserve"> ne pas participer aux différents conseils, estimant </w:t>
      </w:r>
      <w:r w:rsidRPr="004A24DE">
        <w:rPr>
          <w:rFonts w:hint="eastAsia"/>
        </w:rPr>
        <w:t>que les</w:t>
      </w:r>
      <w:r w:rsidRPr="004A24DE">
        <w:t xml:space="preserve"> décisions sont prises sans débat en amont, </w:t>
      </w:r>
      <w:proofErr w:type="spellStart"/>
      <w:r w:rsidRPr="004A24DE">
        <w:t>qu</w:t>
      </w:r>
      <w:proofErr w:type="spellEnd"/>
      <w:r w:rsidRPr="004A24DE">
        <w:rPr>
          <w:rFonts w:hint="eastAsia"/>
        </w:rPr>
        <w:t>’</w:t>
      </w:r>
      <w:r w:rsidRPr="004A24DE">
        <w:t>il n</w:t>
      </w:r>
      <w:r w:rsidRPr="004A24DE">
        <w:rPr>
          <w:rFonts w:hint="eastAsia"/>
        </w:rPr>
        <w:t>’</w:t>
      </w:r>
      <w:r w:rsidRPr="004A24DE">
        <w:t xml:space="preserve">y a donc pas lieu de participer. </w:t>
      </w:r>
    </w:p>
    <w:p w:rsidR="00B35F8F" w:rsidRPr="004A24DE" w:rsidRDefault="00482544">
      <w:pPr>
        <w:spacing w:after="113"/>
        <w:jc w:val="both"/>
      </w:pPr>
      <w:r w:rsidRPr="004A24DE">
        <w:t>La totalité des participant</w:t>
      </w:r>
      <w:r w:rsidR="00B35F8F" w:rsidRPr="004A24DE">
        <w:t>s</w:t>
      </w:r>
      <w:r w:rsidRPr="004A24DE">
        <w:t xml:space="preserve"> déclarent souhaiter s</w:t>
      </w:r>
      <w:r w:rsidRPr="004A24DE">
        <w:rPr>
          <w:rFonts w:hint="eastAsia"/>
        </w:rPr>
        <w:t>’</w:t>
      </w:r>
      <w:r w:rsidRPr="004A24DE">
        <w:t>impliquer dans la vie locale, s</w:t>
      </w:r>
      <w:r w:rsidRPr="004A24DE">
        <w:rPr>
          <w:rFonts w:hint="eastAsia"/>
        </w:rPr>
        <w:t>’</w:t>
      </w:r>
      <w:r w:rsidRPr="004A24DE">
        <w:t>ils sont associées dans le cadre d</w:t>
      </w:r>
      <w:r w:rsidRPr="004A24DE">
        <w:rPr>
          <w:rFonts w:hint="eastAsia"/>
        </w:rPr>
        <w:t>’</w:t>
      </w:r>
      <w:r w:rsidRPr="004A24DE">
        <w:t>une démarche participative.</w:t>
      </w:r>
    </w:p>
    <w:p w:rsidR="00B35F8F" w:rsidRPr="004A24DE" w:rsidRDefault="00B35F8F">
      <w:pPr>
        <w:spacing w:after="113"/>
        <w:jc w:val="both"/>
      </w:pPr>
      <w:r w:rsidRPr="004A24DE">
        <w:t xml:space="preserve">Les citoyens ne veulent plus être les oubliés de la démocratie, il convient d’apporter de vraies réponses tant au niveau national qu’au niveau local. </w:t>
      </w:r>
    </w:p>
    <w:p w:rsidR="00783BDF" w:rsidRPr="004A24DE" w:rsidRDefault="00482544">
      <w:pPr>
        <w:spacing w:after="113"/>
        <w:jc w:val="both"/>
        <w:rPr>
          <w:b/>
        </w:rPr>
      </w:pPr>
      <w:r w:rsidRPr="004A24DE">
        <w:rPr>
          <w:b/>
        </w:rPr>
        <w:t>En ce qui concerne les modalités électorales</w:t>
      </w:r>
    </w:p>
    <w:p w:rsidR="005565CB" w:rsidRDefault="00482544">
      <w:pPr>
        <w:spacing w:after="113"/>
        <w:jc w:val="both"/>
      </w:pPr>
      <w:r w:rsidRPr="004A24DE">
        <w:t xml:space="preserve">Les personnes présentes considèrent que les règles du scrutin proportionnel de liste avec prime majoritaire pour les élections des conseillers municipaux </w:t>
      </w:r>
      <w:proofErr w:type="gramStart"/>
      <w:r w:rsidRPr="004A24DE">
        <w:t>est</w:t>
      </w:r>
      <w:proofErr w:type="gramEnd"/>
      <w:r w:rsidRPr="004A24DE">
        <w:t xml:space="preserve"> injuste et peu propice à un débat démocratique équilibré dans les communes. Il est souhaité, </w:t>
      </w:r>
      <w:proofErr w:type="spellStart"/>
      <w:r w:rsidRPr="004A24DE">
        <w:t>qu</w:t>
      </w:r>
      <w:proofErr w:type="spellEnd"/>
      <w:r w:rsidRPr="004A24DE">
        <w:rPr>
          <w:rFonts w:hint="eastAsia"/>
        </w:rPr>
        <w:t>’</w:t>
      </w:r>
      <w:r w:rsidRPr="004A24DE">
        <w:t xml:space="preserve">au niveau national, ces modalités </w:t>
      </w:r>
      <w:r w:rsidRPr="004A24DE">
        <w:rPr>
          <w:rFonts w:hint="eastAsia"/>
        </w:rPr>
        <w:t>soient</w:t>
      </w:r>
      <w:r w:rsidRPr="004A24DE">
        <w:t xml:space="preserve"> revues et que l</w:t>
      </w:r>
      <w:r w:rsidRPr="004A24DE">
        <w:rPr>
          <w:rFonts w:hint="eastAsia"/>
        </w:rPr>
        <w:t>’</w:t>
      </w:r>
      <w:r w:rsidRPr="004A24DE">
        <w:t>ensemble des acteurs, majorité</w:t>
      </w:r>
      <w:r w:rsidR="00B35F8F" w:rsidRPr="004A24DE">
        <w:t>,</w:t>
      </w:r>
      <w:r w:rsidRPr="004A24DE">
        <w:t xml:space="preserve"> minorité</w:t>
      </w:r>
      <w:r w:rsidR="00B35F8F" w:rsidRPr="004A24DE">
        <w:t>, qui ont une représentativité forte</w:t>
      </w:r>
      <w:r w:rsidRPr="004A24DE">
        <w:t xml:space="preserve"> puissent travailler dans un esprit collaboratif. </w:t>
      </w:r>
    </w:p>
    <w:p w:rsidR="00783BDF" w:rsidRPr="004A24DE" w:rsidRDefault="00783BDF">
      <w:pPr>
        <w:spacing w:after="113"/>
        <w:jc w:val="both"/>
      </w:pPr>
    </w:p>
    <w:p w:rsidR="00783BDF" w:rsidRPr="004A24DE" w:rsidRDefault="00482544">
      <w:pPr>
        <w:spacing w:after="113"/>
        <w:jc w:val="both"/>
        <w:rPr>
          <w:i/>
          <w:iCs/>
        </w:rPr>
      </w:pPr>
      <w:r w:rsidRPr="004A24DE">
        <w:t xml:space="preserve">Des </w:t>
      </w:r>
      <w:r w:rsidRPr="004A24DE">
        <w:rPr>
          <w:b/>
          <w:bCs/>
        </w:rPr>
        <w:t>PROPOSITIONS</w:t>
      </w:r>
      <w:r w:rsidRPr="004A24DE">
        <w:t xml:space="preserve"> pour enrichir la démocratie locale : </w:t>
      </w:r>
      <w:r w:rsidRPr="004A24DE">
        <w:rPr>
          <w:i/>
          <w:iCs/>
        </w:rPr>
        <w:t>"ouvrir les portes pour que les gens puissent s’investir"</w:t>
      </w:r>
    </w:p>
    <w:p w:rsidR="00783BDF" w:rsidRPr="004A24DE" w:rsidRDefault="00482544">
      <w:pPr>
        <w:spacing w:after="113"/>
        <w:jc w:val="both"/>
      </w:pPr>
      <w:r w:rsidRPr="004A24DE">
        <w:t xml:space="preserve">- Création de </w:t>
      </w:r>
      <w:r w:rsidRPr="004A24DE">
        <w:rPr>
          <w:b/>
          <w:bCs/>
        </w:rPr>
        <w:t>commissions extra-municipales</w:t>
      </w:r>
      <w:r w:rsidR="00B35F8F" w:rsidRPr="004A24DE">
        <w:rPr>
          <w:b/>
          <w:bCs/>
        </w:rPr>
        <w:t xml:space="preserve">, ou </w:t>
      </w:r>
      <w:proofErr w:type="spellStart"/>
      <w:r w:rsidR="00B35F8F" w:rsidRPr="004A24DE">
        <w:rPr>
          <w:b/>
          <w:bCs/>
        </w:rPr>
        <w:t>extra-cantonales</w:t>
      </w:r>
      <w:proofErr w:type="spellEnd"/>
      <w:r w:rsidR="00B35F8F" w:rsidRPr="004A24DE">
        <w:rPr>
          <w:b/>
          <w:bCs/>
        </w:rPr>
        <w:t xml:space="preserve"> </w:t>
      </w:r>
      <w:r w:rsidRPr="004A24DE">
        <w:t xml:space="preserve"> associant des élus et des citoyens sur des thèmes précis (tourisme – santé – jeunesse – mobilité – questions agricoles ...)</w:t>
      </w:r>
    </w:p>
    <w:p w:rsidR="00783BDF" w:rsidRPr="004A24DE" w:rsidRDefault="00482544">
      <w:pPr>
        <w:spacing w:after="113"/>
        <w:jc w:val="both"/>
        <w:rPr>
          <w:strike/>
        </w:rPr>
      </w:pPr>
      <w:r w:rsidRPr="004A24DE">
        <w:t xml:space="preserve">- Création d’un </w:t>
      </w:r>
      <w:r w:rsidRPr="004A24DE">
        <w:rPr>
          <w:b/>
          <w:bCs/>
        </w:rPr>
        <w:t xml:space="preserve">conseil </w:t>
      </w:r>
      <w:r w:rsidR="00D022BD" w:rsidRPr="004A24DE">
        <w:rPr>
          <w:b/>
          <w:bCs/>
        </w:rPr>
        <w:t xml:space="preserve">citoyen </w:t>
      </w:r>
      <w:r w:rsidRPr="004A24DE">
        <w:t>réunissant les</w:t>
      </w:r>
      <w:r w:rsidR="00D022BD" w:rsidRPr="004A24DE">
        <w:t xml:space="preserve"> habitants volontaires, les</w:t>
      </w:r>
      <w:r w:rsidRPr="004A24DE">
        <w:t xml:space="preserve"> associations locales</w:t>
      </w:r>
      <w:r w:rsidR="00D022BD" w:rsidRPr="004A24DE">
        <w:t xml:space="preserve">, les acteurs du territoire </w:t>
      </w:r>
      <w:r w:rsidRPr="004A24DE">
        <w:t xml:space="preserve"> et </w:t>
      </w:r>
      <w:r w:rsidR="004A24DE">
        <w:t>les élus.</w:t>
      </w:r>
      <w:r w:rsidR="00B35F8F" w:rsidRPr="004A24DE">
        <w:t xml:space="preserve"> </w:t>
      </w:r>
      <w:r w:rsidR="00D022BD" w:rsidRPr="004A24DE">
        <w:t>Des moyens doivent être mis au service de la société civile</w:t>
      </w:r>
      <w:r w:rsidR="00D022BD" w:rsidRPr="004A24DE">
        <w:rPr>
          <w:rFonts w:hint="eastAsia"/>
        </w:rPr>
        <w:t> </w:t>
      </w:r>
      <w:r w:rsidR="00D022BD" w:rsidRPr="004A24DE">
        <w:t>: outils d</w:t>
      </w:r>
      <w:r w:rsidR="00D022BD" w:rsidRPr="004A24DE">
        <w:rPr>
          <w:rFonts w:hint="eastAsia"/>
        </w:rPr>
        <w:t>’</w:t>
      </w:r>
      <w:r w:rsidR="00D022BD" w:rsidRPr="004A24DE">
        <w:t>information, lieux et outils de travail.</w:t>
      </w:r>
    </w:p>
    <w:p w:rsidR="00783BDF" w:rsidRPr="004A24DE" w:rsidRDefault="00482544">
      <w:pPr>
        <w:spacing w:after="113"/>
        <w:jc w:val="both"/>
      </w:pPr>
      <w:r w:rsidRPr="004A24DE">
        <w:t>-</w:t>
      </w:r>
      <w:r w:rsidR="00B35F8F" w:rsidRPr="004A24DE">
        <w:t xml:space="preserve"> Possibilité d</w:t>
      </w:r>
      <w:r w:rsidR="00B35F8F" w:rsidRPr="004A24DE">
        <w:rPr>
          <w:rFonts w:hint="eastAsia"/>
        </w:rPr>
        <w:t>’</w:t>
      </w:r>
      <w:r w:rsidR="00B35F8F" w:rsidRPr="004A24DE">
        <w:t>i</w:t>
      </w:r>
      <w:r w:rsidRPr="004A24DE">
        <w:t>n</w:t>
      </w:r>
      <w:r w:rsidR="00B35F8F" w:rsidRPr="004A24DE">
        <w:t xml:space="preserve">tervention </w:t>
      </w:r>
      <w:r w:rsidRPr="004A24DE">
        <w:t xml:space="preserve">des habitants </w:t>
      </w:r>
      <w:r w:rsidR="00B35F8F" w:rsidRPr="004A24DE">
        <w:t>en fin de conseil</w:t>
      </w:r>
      <w:r w:rsidR="00B35F8F" w:rsidRPr="004A24DE">
        <w:rPr>
          <w:rFonts w:hint="eastAsia"/>
        </w:rPr>
        <w:t> </w:t>
      </w:r>
      <w:r w:rsidR="00B35F8F" w:rsidRPr="004A24DE">
        <w:t xml:space="preserve">: </w:t>
      </w:r>
      <w:r w:rsidRPr="004A24DE">
        <w:t xml:space="preserve"> le compte</w:t>
      </w:r>
      <w:r w:rsidR="00B35F8F" w:rsidRPr="004A24DE">
        <w:t>-rendu de ces interventions et l</w:t>
      </w:r>
      <w:r w:rsidRPr="004A24DE">
        <w:t>es réponses qui sont apportées doit être retranscrit dans le compte-rendu du conseil.</w:t>
      </w:r>
    </w:p>
    <w:p w:rsidR="00783BDF" w:rsidRPr="004A24DE" w:rsidRDefault="00482544">
      <w:pPr>
        <w:spacing w:after="113"/>
        <w:jc w:val="both"/>
      </w:pPr>
      <w:r w:rsidRPr="004A24DE">
        <w:t xml:space="preserve">- Possibilités pour les citoyens de </w:t>
      </w:r>
      <w:r w:rsidRPr="004A24DE">
        <w:rPr>
          <w:b/>
          <w:bCs/>
        </w:rPr>
        <w:t>déposer au préalable</w:t>
      </w:r>
      <w:r w:rsidRPr="004A24DE">
        <w:t xml:space="preserve">, individuellement, collectivement ou à travers une commission </w:t>
      </w:r>
      <w:r w:rsidR="00B35F8F" w:rsidRPr="004A24DE">
        <w:t>participative</w:t>
      </w:r>
      <w:r w:rsidRPr="004A24DE">
        <w:t>, une question, avec ou sans proposition, pour un débat au sein du conseil.</w:t>
      </w:r>
    </w:p>
    <w:p w:rsidR="00783BDF" w:rsidRPr="004A24DE" w:rsidRDefault="00B35F8F">
      <w:pPr>
        <w:spacing w:after="113"/>
        <w:jc w:val="both"/>
      </w:pPr>
      <w:r w:rsidRPr="004A24DE">
        <w:t>- Tous les conseils doivent formuler des</w:t>
      </w:r>
      <w:r w:rsidR="00482544" w:rsidRPr="004A24DE">
        <w:t xml:space="preserve"> </w:t>
      </w:r>
      <w:r w:rsidR="00482544" w:rsidRPr="004A24DE">
        <w:rPr>
          <w:b/>
          <w:bCs/>
        </w:rPr>
        <w:t>PROPOSITIONS</w:t>
      </w:r>
      <w:r w:rsidRPr="004A24DE">
        <w:rPr>
          <w:b/>
          <w:bCs/>
        </w:rPr>
        <w:t xml:space="preserve"> étudiées avec les habitants</w:t>
      </w:r>
      <w:r w:rsidR="00D022BD" w:rsidRPr="004A24DE">
        <w:rPr>
          <w:b/>
          <w:bCs/>
        </w:rPr>
        <w:t>,</w:t>
      </w:r>
      <w:r w:rsidR="00482544" w:rsidRPr="004A24DE">
        <w:t xml:space="preserve"> pour engager une véritable lutte contre le réchauffement climatique et garantir l’avenir des plus jeunes et des générations futures :</w:t>
      </w:r>
    </w:p>
    <w:p w:rsidR="00D022BD" w:rsidRPr="004A24DE" w:rsidRDefault="00482544">
      <w:pPr>
        <w:spacing w:after="113"/>
        <w:jc w:val="both"/>
      </w:pPr>
      <w:r w:rsidRPr="004A24DE">
        <w:t>- Tout</w:t>
      </w:r>
      <w:r w:rsidR="00B35F8F" w:rsidRPr="004A24DE">
        <w:t>es</w:t>
      </w:r>
      <w:r w:rsidRPr="004A24DE">
        <w:t xml:space="preserve"> dépenses </w:t>
      </w:r>
      <w:r w:rsidR="00B35F8F" w:rsidRPr="004A24DE">
        <w:t>importantes d’investissement ou de fonctionnement d</w:t>
      </w:r>
      <w:r w:rsidR="00B35F8F" w:rsidRPr="004A24DE">
        <w:rPr>
          <w:rFonts w:hint="eastAsia"/>
        </w:rPr>
        <w:t>’</w:t>
      </w:r>
      <w:r w:rsidR="00B35F8F" w:rsidRPr="004A24DE">
        <w:t>une collectivité</w:t>
      </w:r>
      <w:r w:rsidR="00D022BD" w:rsidRPr="004A24DE">
        <w:t xml:space="preserve"> </w:t>
      </w:r>
      <w:r w:rsidR="00B35F8F" w:rsidRPr="004A24DE">
        <w:t xml:space="preserve">(dont le montant est à définir) </w:t>
      </w:r>
      <w:r w:rsidRPr="004A24DE">
        <w:t xml:space="preserve">doivent faire l’objet d’une </w:t>
      </w:r>
      <w:r w:rsidR="00D022BD" w:rsidRPr="004A24DE">
        <w:t xml:space="preserve">réflexion partagée avec les habitants </w:t>
      </w:r>
      <w:r w:rsidRPr="004A24DE">
        <w:t>quant à leur impact, positif, négatif ou sans conséquence, sur l’environnement, la santé des habitants et le climat</w:t>
      </w:r>
      <w:r w:rsidR="00D022BD" w:rsidRPr="004A24DE">
        <w:t>, le développement durable du territoire</w:t>
      </w:r>
      <w:r w:rsidRPr="004A24DE">
        <w:t>. Cet examen est consigné en préambule de l’engagement</w:t>
      </w:r>
      <w:r w:rsidR="00D022BD" w:rsidRPr="004A24DE">
        <w:t>, avant soumission au vote.</w:t>
      </w:r>
    </w:p>
    <w:p w:rsidR="00783BDF" w:rsidRPr="004A24DE" w:rsidRDefault="00D022BD">
      <w:pPr>
        <w:spacing w:after="113"/>
        <w:jc w:val="both"/>
      </w:pPr>
      <w:r w:rsidRPr="004A24DE">
        <w:t xml:space="preserve">- Toute personne concernée par un projet doit être associée aux réflexions le </w:t>
      </w:r>
      <w:r w:rsidRPr="004A24DE">
        <w:rPr>
          <w:rFonts w:hint="eastAsia"/>
        </w:rPr>
        <w:t>concernant</w:t>
      </w:r>
      <w:r w:rsidRPr="004A24DE">
        <w:t>.</w:t>
      </w:r>
    </w:p>
    <w:p w:rsidR="00783BDF" w:rsidRPr="004A24DE" w:rsidRDefault="00783BDF">
      <w:pPr>
        <w:spacing w:after="113"/>
        <w:jc w:val="both"/>
      </w:pPr>
    </w:p>
    <w:p w:rsidR="00783BDF" w:rsidRPr="004A24DE" w:rsidRDefault="00482544">
      <w:pPr>
        <w:spacing w:after="113"/>
        <w:jc w:val="both"/>
        <w:rPr>
          <w:i/>
          <w:iCs/>
        </w:rPr>
      </w:pPr>
      <w:r w:rsidRPr="004A24DE">
        <w:rPr>
          <w:i/>
          <w:iCs/>
        </w:rPr>
        <w:t xml:space="preserve">Ces propositions, remises aux </w:t>
      </w:r>
      <w:proofErr w:type="spellStart"/>
      <w:r w:rsidRPr="004A24DE">
        <w:rPr>
          <w:i/>
          <w:iCs/>
        </w:rPr>
        <w:t>élu.e.s</w:t>
      </w:r>
      <w:proofErr w:type="spellEnd"/>
      <w:r w:rsidRPr="004A24DE">
        <w:rPr>
          <w:i/>
          <w:iCs/>
        </w:rPr>
        <w:t xml:space="preserve"> des assemblées locales (conseil municipal et conseil communautaire) ne sont pas exhaustives et leur mise en place exige un travail collaboratif dans lequel le Collectif citoyen du pays de Dieulefit et ceux qui le soutiennent sont prêts à  s</w:t>
      </w:r>
      <w:r w:rsidR="004A24DE">
        <w:rPr>
          <w:i/>
          <w:iCs/>
        </w:rPr>
        <w:t>’investir.</w:t>
      </w:r>
    </w:p>
    <w:p w:rsidR="00783BDF" w:rsidRPr="004A24DE" w:rsidRDefault="00783BDF">
      <w:pPr>
        <w:spacing w:after="113"/>
        <w:jc w:val="both"/>
      </w:pPr>
    </w:p>
    <w:p w:rsidR="00783BDF" w:rsidRPr="004A24DE" w:rsidRDefault="00783BDF">
      <w:pPr>
        <w:spacing w:after="113"/>
        <w:jc w:val="both"/>
        <w:rPr>
          <w:rFonts w:ascii="Times New Roman" w:eastAsia="Times New Roman" w:hAnsi="Times New Roman" w:cs="Times New Roman"/>
          <w:lang w:eastAsia="fr-FR"/>
        </w:rPr>
      </w:pPr>
    </w:p>
    <w:sectPr w:rsidR="00783BDF" w:rsidRPr="004A24DE" w:rsidSect="004A24DE">
      <w:pgSz w:w="11906" w:h="16838"/>
      <w:pgMar w:top="964" w:right="964" w:bottom="426" w:left="964" w:header="0" w:footer="0" w:gutter="0"/>
      <w:formProt w:val="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WenQuanYi Micro Hei">
    <w:altName w:val="Geneva"/>
    <w:panose1 w:val="00000000000000000000"/>
    <w:charset w:val="4D"/>
    <w:family w:val="roman"/>
    <w:notTrueType/>
    <w:pitch w:val="default"/>
    <w:sig w:usb0="00000003" w:usb1="00000000" w:usb2="00000000" w:usb3="00000000" w:csb0="00000001" w:csb1="00000000"/>
  </w:font>
  <w:font w:name="Lohit Devanagari">
    <w:panose1 w:val="00000000000000000000"/>
    <w:charset w:val="4D"/>
    <w:family w:val="roman"/>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Nimbus Mono 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420"/>
  <w:hyphenationZone w:val="425"/>
  <w:characterSpacingControl w:val="doNotCompress"/>
  <w:compat>
    <w:useFELayout/>
  </w:compat>
  <w:rsids>
    <w:rsidRoot w:val="00783BDF"/>
    <w:rsid w:val="00482544"/>
    <w:rsid w:val="004A24DE"/>
    <w:rsid w:val="005565CB"/>
    <w:rsid w:val="00783BDF"/>
    <w:rsid w:val="00A31016"/>
    <w:rsid w:val="00B35F8F"/>
    <w:rsid w:val="00D022B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3BDF"/>
    <w:pPr>
      <w:suppressAutoHyphens/>
    </w:pPr>
    <w:rPr>
      <w:rFonts w:ascii="Liberation Serif" w:eastAsia="WenQuanYi Micro Hei" w:hAnsi="Liberation Serif" w:cs="Lohit Devanagari"/>
      <w:lang w:eastAsia="zh-CN" w:bidi="hi-I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InternetLink">
    <w:name w:val="Internet Link"/>
    <w:rsid w:val="00783BDF"/>
    <w:rPr>
      <w:color w:val="000080"/>
      <w:u w:val="single"/>
      <w:lang w:val="uz-Cyrl-UZ" w:eastAsia="uz-Cyrl-UZ" w:bidi="uz-Cyrl-UZ"/>
    </w:rPr>
  </w:style>
  <w:style w:type="paragraph" w:customStyle="1" w:styleId="Heading">
    <w:name w:val="Heading"/>
    <w:basedOn w:val="Normal"/>
    <w:next w:val="TextBody"/>
    <w:rsid w:val="00783BDF"/>
    <w:pPr>
      <w:keepNext/>
      <w:spacing w:before="240" w:after="120"/>
    </w:pPr>
    <w:rPr>
      <w:rFonts w:ascii="Liberation Sans" w:hAnsi="Liberation Sans"/>
      <w:sz w:val="28"/>
      <w:szCs w:val="28"/>
    </w:rPr>
  </w:style>
  <w:style w:type="paragraph" w:customStyle="1" w:styleId="TextBody">
    <w:name w:val="Text Body"/>
    <w:basedOn w:val="Normal"/>
    <w:rsid w:val="00783BDF"/>
    <w:pPr>
      <w:spacing w:after="140" w:line="288" w:lineRule="auto"/>
    </w:pPr>
  </w:style>
  <w:style w:type="paragraph" w:styleId="Liste">
    <w:name w:val="List"/>
    <w:basedOn w:val="TextBody"/>
    <w:rsid w:val="00783BDF"/>
  </w:style>
  <w:style w:type="paragraph" w:customStyle="1" w:styleId="Caption">
    <w:name w:val="Caption"/>
    <w:basedOn w:val="Normal"/>
    <w:rsid w:val="00783BDF"/>
    <w:pPr>
      <w:suppressLineNumbers/>
      <w:spacing w:before="120" w:after="120"/>
    </w:pPr>
    <w:rPr>
      <w:i/>
      <w:iCs/>
    </w:rPr>
  </w:style>
  <w:style w:type="paragraph" w:customStyle="1" w:styleId="Index">
    <w:name w:val="Index"/>
    <w:basedOn w:val="Normal"/>
    <w:rsid w:val="00783BDF"/>
    <w:pPr>
      <w:suppressLineNumbers/>
    </w:pPr>
  </w:style>
  <w:style w:type="paragraph" w:customStyle="1" w:styleId="PreformattedText">
    <w:name w:val="Preformatted Text"/>
    <w:basedOn w:val="Normal"/>
    <w:rsid w:val="00783BDF"/>
    <w:rPr>
      <w:rFonts w:ascii="Liberation Mono" w:eastAsia="Nimbus Mono L" w:hAnsi="Liberation Mono" w:cs="Liberation Mono"/>
      <w:sz w:val="20"/>
      <w:szCs w:val="20"/>
    </w:rPr>
  </w:style>
  <w:style w:type="paragraph" w:customStyle="1" w:styleId="TableContents">
    <w:name w:val="Table Contents"/>
    <w:basedOn w:val="Normal"/>
    <w:rsid w:val="00783BDF"/>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24012</TotalTime>
  <Pages>2</Pages>
  <Words>478</Words>
  <Characters>2730</Characters>
  <Application>Microsoft Macintosh Word</Application>
  <DocSecurity>0</DocSecurity>
  <Lines>22</Lines>
  <Paragraphs>5</Paragraphs>
  <ScaleCrop>false</ScaleCrop>
  <Company>CLD</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Mariette Cuvellier</cp:lastModifiedBy>
  <cp:revision>21</cp:revision>
  <dcterms:created xsi:type="dcterms:W3CDTF">2019-01-08T04:35:00Z</dcterms:created>
  <dcterms:modified xsi:type="dcterms:W3CDTF">2019-02-02T08:00:00Z</dcterms:modified>
</cp:coreProperties>
</file>